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02">
      <w:pPr>
        <w:shd w:fill="ffffff" w:val="clear"/>
        <w:spacing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volunteer Board of Advisors for JOY MEDIA provides volunteer guidance, support and advocacy for our efforts to expand the reach of cultural institutions into diverse communities via digitization and virtual reality. </w:t>
      </w:r>
    </w:p>
    <w:p w:rsidR="00000000" w:rsidDel="00000000" w:rsidP="00000000" w:rsidRDefault="00000000" w:rsidRPr="00000000" w14:paraId="00000003">
      <w:pPr>
        <w:shd w:fill="ffffff" w:val="clear"/>
        <w:spacing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board is composed of top-level executives with extensive expertise and established relationships within the art world. Their collective experience will shape the strategy and execution of the organization and help ensure its mission of expanding museum access to diverse communities is effectively realized.</w:t>
      </w:r>
    </w:p>
    <w:p w:rsidR="00000000" w:rsidDel="00000000" w:rsidP="00000000" w:rsidRDefault="00000000" w:rsidRPr="00000000" w14:paraId="00000004">
      <w:pPr>
        <w:pStyle w:val="Heading1"/>
        <w:pBdr>
          <w:top w:color="e5e7eb" w:space="0" w:sz="0" w:val="none"/>
          <w:left w:color="e5e7eb" w:space="0" w:sz="0" w:val="none"/>
          <w:bottom w:color="e5e7eb" w:space="0" w:sz="0" w:val="none"/>
          <w:right w:color="e5e7eb" w:space="0" w:sz="0" w:val="none"/>
          <w:between w:color="e5e7eb" w:space="0" w:sz="0" w:val="none"/>
        </w:pBdr>
        <w:shd w:fill="ffffff" w:val="clear"/>
        <w:rPr/>
      </w:pPr>
      <w:bookmarkStart w:colFirst="0" w:colLast="0" w:name="_yp1th9nkp7ol" w:id="1"/>
      <w:bookmarkEnd w:id="1"/>
      <w:r w:rsidDel="00000000" w:rsidR="00000000" w:rsidRPr="00000000">
        <w:rPr>
          <w:rtl w:val="0"/>
        </w:rPr>
        <w:t xml:space="preserve">Overview</w:t>
      </w:r>
    </w:p>
    <w:p w:rsidR="00000000" w:rsidDel="00000000" w:rsidP="00000000" w:rsidRDefault="00000000" w:rsidRPr="00000000" w14:paraId="00000005">
      <w:pPr>
        <w:shd w:fill="ffffff" w:val="clear"/>
        <w:spacing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Board of Advisors is designed to provide strategic guidance, advocacy, and support to the media company. Members are expected to leverage their professional networks and industry knowledge to enhance the organization’s visibility and influence within the art and museum sectors. The board's primary objective is to assist the organization in navigating the complexities of the art world, fostering partnerships, and promoting initiatives that utilize technology to broaden museum engagement with various communities.</w:t>
      </w:r>
    </w:p>
    <w:p w:rsidR="00000000" w:rsidDel="00000000" w:rsidP="00000000" w:rsidRDefault="00000000" w:rsidRPr="00000000" w14:paraId="00000006">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pPr>
      <w:r w:rsidDel="00000000" w:rsidR="00000000" w:rsidRPr="00000000">
        <w:rPr>
          <w:color w:val="2e75b5"/>
          <w:sz w:val="32"/>
          <w:szCs w:val="32"/>
          <w:rtl w:val="0"/>
        </w:rPr>
        <w:t xml:space="preserve">Job Description</w:t>
      </w:r>
      <w:r w:rsidDel="00000000" w:rsidR="00000000" w:rsidRPr="00000000">
        <w:rPr>
          <w:rtl w:val="0"/>
        </w:rPr>
      </w:r>
    </w:p>
    <w:p w:rsidR="00000000" w:rsidDel="00000000" w:rsidP="00000000" w:rsidRDefault="00000000" w:rsidRPr="00000000" w14:paraId="00000007">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pPr>
      <w:r w:rsidDel="00000000" w:rsidR="00000000" w:rsidRPr="00000000">
        <w:rPr>
          <w:color w:val="2e75b5"/>
          <w:sz w:val="32"/>
          <w:szCs w:val="32"/>
          <w:rtl w:val="0"/>
        </w:rPr>
        <w:t xml:space="preserve">Title:  Advisor, Joy Media</w:t>
      </w:r>
      <w:r w:rsidDel="00000000" w:rsidR="00000000" w:rsidRPr="00000000">
        <w:rPr>
          <w:rtl w:val="0"/>
        </w:rPr>
      </w:r>
    </w:p>
    <w:p w:rsidR="00000000" w:rsidDel="00000000" w:rsidP="00000000" w:rsidRDefault="00000000" w:rsidRPr="00000000" w14:paraId="00000008">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color w:val="2e75b5"/>
          <w:sz w:val="32"/>
          <w:szCs w:val="32"/>
        </w:rPr>
      </w:pPr>
      <w:r w:rsidDel="00000000" w:rsidR="00000000" w:rsidRPr="00000000">
        <w:rPr>
          <w:color w:val="2e75b5"/>
          <w:sz w:val="32"/>
          <w:szCs w:val="32"/>
          <w:rtl w:val="0"/>
        </w:rPr>
        <w:t xml:space="preserve">Location: Remote/Various Locations</w:t>
      </w:r>
    </w:p>
    <w:p w:rsidR="00000000" w:rsidDel="00000000" w:rsidP="00000000" w:rsidRDefault="00000000" w:rsidRPr="00000000" w14:paraId="00000009">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color w:val="2e75b5"/>
          <w:sz w:val="32"/>
          <w:szCs w:val="32"/>
        </w:rPr>
      </w:pPr>
      <w:r w:rsidDel="00000000" w:rsidR="00000000" w:rsidRPr="00000000">
        <w:rPr>
          <w:color w:val="2e75b5"/>
          <w:sz w:val="32"/>
          <w:szCs w:val="32"/>
          <w:rtl w:val="0"/>
        </w:rPr>
        <w:t xml:space="preserve">Responsibilities</w:t>
      </w:r>
    </w:p>
    <w:p w:rsidR="00000000" w:rsidDel="00000000" w:rsidP="00000000" w:rsidRDefault="00000000" w:rsidRPr="00000000" w14:paraId="0000000A">
      <w:pPr>
        <w:numPr>
          <w:ilvl w:val="0"/>
          <w:numId w:val="2"/>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12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Strategic Guidance: Provide insights and recommendations on the organization’s strategic initiatives and programs aimed at enhancing museum outreach through technology.</w:t>
      </w:r>
    </w:p>
    <w:p w:rsidR="00000000" w:rsidDel="00000000" w:rsidP="00000000" w:rsidRDefault="00000000" w:rsidRPr="00000000" w14:paraId="0000000B">
      <w:pPr>
        <w:numPr>
          <w:ilvl w:val="0"/>
          <w:numId w:val="2"/>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Advocacy: Act as ambassadors for the organization, promoting its mission and initiatives within their professional networks and at industry events.</w:t>
      </w:r>
    </w:p>
    <w:p w:rsidR="00000000" w:rsidDel="00000000" w:rsidP="00000000" w:rsidRDefault="00000000" w:rsidRPr="00000000" w14:paraId="0000000C">
      <w:pPr>
        <w:numPr>
          <w:ilvl w:val="0"/>
          <w:numId w:val="2"/>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Networking: Leverage personal and professional relationships to open doors for potential partnerships, collaborations, and funding opportunities.</w:t>
      </w:r>
    </w:p>
    <w:p w:rsidR="00000000" w:rsidDel="00000000" w:rsidP="00000000" w:rsidRDefault="00000000" w:rsidRPr="00000000" w14:paraId="0000000D">
      <w:pPr>
        <w:numPr>
          <w:ilvl w:val="0"/>
          <w:numId w:val="2"/>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Advisory Role: Participate in occasional calls – scheduled at the advisor’s convenience – to discuss organizational goals, challenges, and opportunities, contributing expertise in areas such as fundraising, marketing, and technology.</w:t>
      </w:r>
    </w:p>
    <w:p w:rsidR="00000000" w:rsidDel="00000000" w:rsidP="00000000" w:rsidRDefault="00000000" w:rsidRPr="00000000" w14:paraId="0000000E">
      <w:pPr>
        <w:numPr>
          <w:ilvl w:val="0"/>
          <w:numId w:val="2"/>
        </w:numPr>
        <w:pBdr>
          <w:top w:color="e5e7eb" w:space="0" w:sz="0" w:val="none"/>
          <w:left w:color="e5e7eb" w:space="0" w:sz="0" w:val="none"/>
          <w:bottom w:color="e5e7eb" w:space="0" w:sz="0" w:val="none"/>
          <w:right w:color="e5e7eb" w:space="0" w:sz="0" w:val="none"/>
          <w:between w:color="e5e7eb" w:space="0" w:sz="0" w:val="none"/>
        </w:pBdr>
        <w:shd w:fill="ffffff" w:val="clear"/>
        <w:spacing w:after="12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Community Engagement: Support efforts to connect with diverse communities, ensuring that the organization’s initiatives are inclusive and accessible.</w:t>
      </w:r>
    </w:p>
    <w:p w:rsidR="00000000" w:rsidDel="00000000" w:rsidP="00000000" w:rsidRDefault="00000000" w:rsidRPr="00000000" w14:paraId="0000000F">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color w:val="2e75b5"/>
          <w:sz w:val="32"/>
          <w:szCs w:val="32"/>
        </w:rPr>
      </w:pPr>
      <w:r w:rsidDel="00000000" w:rsidR="00000000" w:rsidRPr="00000000">
        <w:rPr>
          <w:color w:val="2e75b5"/>
          <w:sz w:val="32"/>
          <w:szCs w:val="32"/>
          <w:rtl w:val="0"/>
        </w:rPr>
        <w:t xml:space="preserve">Qualifications</w:t>
      </w:r>
    </w:p>
    <w:p w:rsidR="00000000" w:rsidDel="00000000" w:rsidP="00000000" w:rsidRDefault="00000000" w:rsidRPr="00000000" w14:paraId="00000010">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We seek leaders and centers of influence in the worlds of art, business and technology</w:t>
      </w:r>
      <w:r w:rsidDel="00000000" w:rsidR="00000000" w:rsidRPr="00000000">
        <w:rPr>
          <w:rtl w:val="0"/>
        </w:rPr>
      </w:r>
    </w:p>
    <w:p w:rsidR="00000000" w:rsidDel="00000000" w:rsidP="00000000" w:rsidRDefault="00000000" w:rsidRPr="00000000" w14:paraId="00000011">
      <w:pPr>
        <w:numPr>
          <w:ilvl w:val="0"/>
          <w:numId w:val="3"/>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12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Deep experience as an organizational leader and executive</w:t>
      </w:r>
    </w:p>
    <w:p w:rsidR="00000000" w:rsidDel="00000000" w:rsidP="00000000" w:rsidRDefault="00000000" w:rsidRPr="00000000" w14:paraId="00000012">
      <w:pPr>
        <w:numPr>
          <w:ilvl w:val="0"/>
          <w:numId w:val="3"/>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Strong understanding of the museum landscape and the challenges faced in engaging diverse audiences.</w:t>
      </w:r>
    </w:p>
    <w:p w:rsidR="00000000" w:rsidDel="00000000" w:rsidP="00000000" w:rsidRDefault="00000000" w:rsidRPr="00000000" w14:paraId="00000013">
      <w:pPr>
        <w:numPr>
          <w:ilvl w:val="0"/>
          <w:numId w:val="3"/>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Established relationships within the art world, including museums, galleries, and cultural organizations.</w:t>
      </w:r>
    </w:p>
    <w:p w:rsidR="00000000" w:rsidDel="00000000" w:rsidP="00000000" w:rsidRDefault="00000000" w:rsidRPr="00000000" w14:paraId="00000014">
      <w:pPr>
        <w:numPr>
          <w:ilvl w:val="0"/>
          <w:numId w:val="3"/>
        </w:numPr>
        <w:pBdr>
          <w:top w:color="e5e7eb" w:space="0" w:sz="0" w:val="none"/>
          <w:left w:color="e5e7eb" w:space="0" w:sz="0" w:val="none"/>
          <w:bottom w:color="e5e7eb" w:space="0" w:sz="0" w:val="none"/>
          <w:right w:color="e5e7eb" w:space="0" w:sz="0" w:val="none"/>
          <w:between w:color="e5e7eb" w:space="0" w:sz="0" w:val="none"/>
        </w:pBdr>
        <w:shd w:fill="ffffff" w:val="clear"/>
        <w:spacing w:after="12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Commitment to the mission of expanding museum access through innovative technological solutions.</w:t>
      </w:r>
    </w:p>
    <w:p w:rsidR="00000000" w:rsidDel="00000000" w:rsidP="00000000" w:rsidRDefault="00000000" w:rsidRPr="00000000" w14:paraId="00000015">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pPr>
      <w:r w:rsidDel="00000000" w:rsidR="00000000" w:rsidRPr="00000000">
        <w:rPr>
          <w:color w:val="2e75b5"/>
          <w:sz w:val="32"/>
          <w:szCs w:val="32"/>
          <w:rtl w:val="0"/>
        </w:rPr>
        <w:t xml:space="preserve">Time Commitment</w:t>
      </w:r>
      <w:r w:rsidDel="00000000" w:rsidR="00000000" w:rsidRPr="00000000">
        <w:rPr>
          <w:rtl w:val="0"/>
        </w:rPr>
      </w:r>
    </w:p>
    <w:p w:rsidR="00000000" w:rsidDel="00000000" w:rsidP="00000000" w:rsidRDefault="00000000" w:rsidRPr="00000000" w14:paraId="00000016">
      <w:pPr>
        <w:numPr>
          <w:ilvl w:val="0"/>
          <w:numId w:val="4"/>
        </w:numPr>
        <w:pBdr>
          <w:top w:color="e5e7eb" w:space="0" w:sz="0" w:val="none"/>
          <w:left w:color="e5e7eb" w:space="0" w:sz="0" w:val="none"/>
          <w:bottom w:color="e5e7eb" w:space="0" w:sz="0" w:val="none"/>
          <w:right w:color="e5e7eb" w:space="0" w:sz="0" w:val="none"/>
          <w:between w:color="e5e7eb" w:space="0" w:sz="0" w:val="none"/>
        </w:pBdr>
        <w:shd w:fill="ffffff" w:val="clear"/>
        <w:spacing w:after="120" w:before="12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1 hour/month (average)</w:t>
      </w:r>
      <w:r w:rsidDel="00000000" w:rsidR="00000000" w:rsidRPr="00000000">
        <w:rPr>
          <w:rtl w:val="0"/>
        </w:rPr>
      </w:r>
    </w:p>
    <w:p w:rsidR="00000000" w:rsidDel="00000000" w:rsidP="00000000" w:rsidRDefault="00000000" w:rsidRPr="00000000" w14:paraId="00000017">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rPr/>
      </w:pPr>
      <w:r w:rsidDel="00000000" w:rsidR="00000000" w:rsidRPr="00000000">
        <w:rPr>
          <w:color w:val="2e75b5"/>
          <w:sz w:val="32"/>
          <w:szCs w:val="32"/>
          <w:rtl w:val="0"/>
        </w:rPr>
        <w:t xml:space="preserve">Benefit</w:t>
      </w:r>
      <w:r w:rsidDel="00000000" w:rsidR="00000000" w:rsidRPr="00000000">
        <w:rPr>
          <w:rtl w:val="0"/>
        </w:rPr>
      </w:r>
    </w:p>
    <w:p w:rsidR="00000000" w:rsidDel="00000000" w:rsidP="00000000" w:rsidRDefault="00000000" w:rsidRPr="00000000" w14:paraId="00000018">
      <w:pPr>
        <w:numPr>
          <w:ilvl w:val="0"/>
          <w:numId w:val="1"/>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12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Opportunity to influence the future of museum engagement and access through technology.</w:t>
      </w:r>
    </w:p>
    <w:p w:rsidR="00000000" w:rsidDel="00000000" w:rsidP="00000000" w:rsidRDefault="00000000" w:rsidRPr="00000000" w14:paraId="00000019">
      <w:pPr>
        <w:numPr>
          <w:ilvl w:val="0"/>
          <w:numId w:val="1"/>
        </w:numPr>
        <w:pBdr>
          <w:top w:color="e5e7eb" w:space="0" w:sz="0" w:val="none"/>
          <w:left w:color="e5e7eb" w:space="0" w:sz="0" w:val="none"/>
          <w:bottom w:color="e5e7eb" w:space="0" w:sz="0" w:val="none"/>
          <w:right w:color="e5e7eb" w:space="0" w:sz="0" w:val="none"/>
          <w:between w:color="e5e7eb" w:space="0" w:sz="0" w:val="none"/>
        </w:pBdr>
        <w:shd w:fill="ffffff" w:val="clea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Networking with other top-level executives and leaders in the arts and technology sectors.</w:t>
      </w:r>
    </w:p>
    <w:p w:rsidR="00000000" w:rsidDel="00000000" w:rsidP="00000000" w:rsidRDefault="00000000" w:rsidRPr="00000000" w14:paraId="0000001A">
      <w:pPr>
        <w:numPr>
          <w:ilvl w:val="0"/>
          <w:numId w:val="1"/>
        </w:numPr>
        <w:pBdr>
          <w:top w:color="e5e7eb" w:space="0" w:sz="0" w:val="none"/>
          <w:left w:color="e5e7eb" w:space="0" w:sz="0" w:val="none"/>
          <w:bottom w:color="e5e7eb" w:space="0" w:sz="0" w:val="none"/>
          <w:right w:color="e5e7eb" w:space="0" w:sz="0" w:val="none"/>
          <w:between w:color="e5e7eb" w:space="0" w:sz="0" w:val="none"/>
        </w:pBdr>
        <w:shd w:fill="ffffff" w:val="clear"/>
        <w:spacing w:after="120" w:before="0" w:beforeAutospacing="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Personal fulfillment from contributing to a meaningful mission that impacts diverse communities.</w:t>
      </w:r>
    </w:p>
    <w:p w:rsidR="00000000" w:rsidDel="00000000" w:rsidP="00000000" w:rsidRDefault="00000000" w:rsidRPr="00000000" w14:paraId="0000001B">
      <w:pPr>
        <w:shd w:fill="ffffff" w:val="clear"/>
        <w:spacing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role is ideal for individuals passionate about the arts and committed to making a difference in how museums engage with the public, particularly underrepresented communities. By joining the Board of Advisors, members will play a crucial role in shaping the future of museum outreach and accessibility.</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