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180" w:hanging="180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Business Plan Template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180" w:hanging="180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PROBLEM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Define the problem you are solving (for arts/culture orgs, the joy you add) with concise descriptive statistics. What are the challenges?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180" w:hanging="180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SOLUTION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What does total success look like in concrete, measurable terms? Vision statement here.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180" w:hanging="180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VALUE PROP</w:t>
      </w: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State why your organization is the best solution to the problem and give concrete evidence (aka “proof points”) that they work.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180" w:hanging="180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GOAL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 xml:space="preserve">Your 5 to 10 year Big, Hairy, Audacious Goal that makes progress toward your ultimate vision. “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A BHAG is clear and compelling. People get it right away.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highlight w:val="white"/>
          <w:rtl w:val="0"/>
        </w:rPr>
        <w:t xml:space="preserve">Our goal is to put a man on the moon and return him safely to earth by the end of the decade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. The best BHAGs require both building for the long term AND a relentless sense of urgency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” (</w:t>
      </w:r>
      <w:hyperlink r:id="rId6">
        <w:r w:rsidDel="00000000" w:rsidR="00000000" w:rsidRPr="00000000">
          <w:rPr>
            <w:rFonts w:ascii="Calibri" w:cs="Calibri" w:eastAsia="Calibri" w:hAnsi="Calibri"/>
            <w:color w:val="0000ff"/>
            <w:highlight w:val="white"/>
            <w:u w:val="single"/>
            <w:rtl w:val="0"/>
          </w:rPr>
          <w:t xml:space="preserve">Jim Collins</w:t>
        </w:r>
      </w:hyperlink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180" w:hanging="180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MARKET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How many people or parts of the planet will this touch? Who are the other actors in the space? How does this effort compare?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180" w:hanging="180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STRATEGY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How will you achieve your BHAG? What set of linked behaviors and choices will be made to achieve the goal? (Don’t get strategy wrong like most do:</w:t>
      </w:r>
      <w:hyperlink r:id="rId7">
        <w:r w:rsidDel="00000000" w:rsidR="00000000" w:rsidRPr="00000000">
          <w:rPr>
            <w:rFonts w:ascii="Calibri" w:cs="Calibri" w:eastAsia="Calibri" w:hAnsi="Calibri"/>
            <w:i w:val="1"/>
            <w:color w:val="0000ff"/>
            <w:u w:val="none"/>
            <w:rtl w:val="0"/>
          </w:rPr>
          <w:t xml:space="preserve">Your Strategic Plans Probably Aren’t Strategic or Even Plans</w:t>
        </w:r>
      </w:hyperlink>
      <w:r w:rsidDel="00000000" w:rsidR="00000000" w:rsidRPr="00000000">
        <w:rPr>
          <w:rFonts w:ascii="Calibri" w:cs="Calibri" w:eastAsia="Calibri" w:hAnsi="Calibri"/>
          <w:i w:val="1"/>
          <w:color w:val="0000ff"/>
          <w:u w:val="none"/>
          <w:rtl w:val="0"/>
        </w:rPr>
        <w:t xml:space="preserve">  - </w:t>
      </w:r>
      <w:hyperlink r:id="rId8">
        <w:r w:rsidDel="00000000" w:rsidR="00000000" w:rsidRPr="00000000">
          <w:rPr>
            <w:rFonts w:ascii="Calibri" w:cs="Calibri" w:eastAsia="Calibri" w:hAnsi="Calibri"/>
            <w:i w:val="1"/>
            <w:color w:val="0000ff"/>
            <w:u w:val="none"/>
            <w:rtl w:val="0"/>
          </w:rPr>
          <w:t xml:space="preserve">Many Strategies Fail Because They Aren’t Actually Strategies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Rule="auto"/>
        <w:ind w:left="720" w:right="180" w:hanging="180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MILESTONES</w:t>
      </w: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Measurable progress points toward the BHAG, often in a “crawl, walk, run” progression. Milestones are pieces of your bigger goal and show you have a pathway to get there. Like all goals, they should be SMART: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pecific,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easurable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spirational,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elevant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imed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Rule="auto"/>
        <w:ind w:left="720" w:right="180" w:hanging="180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METRICS</w:t>
      </w: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Small set of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robust KPIs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(3-5) for financial, stakeholder, program, and organizational development. Differentiate between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leading and lagging indicators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 Lags measure desired results; leads are the measurable causes, the activity or actions, that the organization believes will generate the lags.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Rule="auto"/>
        <w:ind w:left="720" w:right="180" w:hanging="180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MARKETING</w:t>
      </w: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Define: 1) purpose of marketing efforts in relation to impact and growth; 2) audience segments and size; 3) how they will be reached; and 4) how they will be engaged to take action. (Develop a subsidiary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marketing plan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; just use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bullet points in this document.)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180" w:hanging="180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REVENUE</w:t>
      </w: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Summarize 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best-practice strategies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for maximizing contributed, earned and loaned revenue from individuals, foundations, corporations, government agencies, and impact capital sources.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Rule="auto"/>
        <w:ind w:left="720" w:right="180" w:hanging="180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RISK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Nonprofits face financial, reputational, legal, governance, operational and other risks. How will you identify and mitigate them? (Learn robust nonprofit governance </w:t>
      </w:r>
      <w:hyperlink r:id="rId1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180" w:hanging="180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ORG</w:t>
      </w: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Org chart showing current/future phased staffing expansion.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180" w:hanging="180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FINANCIALS</w:t>
      </w: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Rolled-up five-year financial projections. Each business plan is also accompanied by an itemized (including salaries) financial projection on request.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180" w:hanging="180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TEAM</w:t>
      </w: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Brief bios of the Board and Executive Team.</w:t>
      </w: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5840" w:w="12240" w:orient="portrait"/>
      <w:pgMar w:bottom="270" w:top="1530" w:left="1800" w:right="540" w:header="431.99999999999994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-108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COPYRIGHT 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© 2025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ALTRUIST 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NONPROFIT ACCELERATOR |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community.altruistaccelerator.org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|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ALL RIGHTS RESERVED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6229350</wp:posOffset>
          </wp:positionH>
          <wp:positionV relativeFrom="page">
            <wp:posOffset>112395</wp:posOffset>
          </wp:positionV>
          <wp:extent cx="1385888" cy="498053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85888" cy="49805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pageBreakBefore w:val="0"/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</w:pPr>
    <w:rPr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>
      <w:pageBreakBefore w:val="0"/>
    </w:pPr>
    <w:rPr>
      <w:i w:val="1"/>
      <w:color w:val="4f81bd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kZQgubfhhWpNSCVd-TTzlHZn9jY9vAw4hIGMhTDFVH8/edit?usp=sharing" TargetMode="External"/><Relationship Id="rId10" Type="http://schemas.openxmlformats.org/officeDocument/2006/relationships/hyperlink" Target="https://www.franklincovey.com/the-4-disciplines/discipline-2-act/" TargetMode="External"/><Relationship Id="rId13" Type="http://schemas.openxmlformats.org/officeDocument/2006/relationships/hyperlink" Target="https://www.weil.com/-/media/files/pdfs/2022/november/2022-guide-to-not-for-profit-governance.pdf" TargetMode="External"/><Relationship Id="rId12" Type="http://schemas.openxmlformats.org/officeDocument/2006/relationships/hyperlink" Target="https://www.altruistpartners.com/navigating-the-complex-nonprofit-revenue-landscape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kZQgubfhhWpNSCVd-TTzlHZn9jY9vAw4hIGMhTDFVH8/edit?usp=sharing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jimcollins.com/concepts.html" TargetMode="External"/><Relationship Id="rId7" Type="http://schemas.openxmlformats.org/officeDocument/2006/relationships/hyperlink" Target="https://hbr.org/2018/04/your-strategic-plans-probably-arent-strategic-or-even-plans" TargetMode="External"/><Relationship Id="rId8" Type="http://schemas.openxmlformats.org/officeDocument/2006/relationships/hyperlink" Target="https://hbr.org/2017/11/many-strategies-fail-because-theyre-not-actually-strategies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community.altruistaccelerator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